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sysTrace 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Huawei Technologies Co., Ltd.</w:t>
        <w:br/>
        <w:t>Copyright (c) Huawei Technologies Co., Ltd. 2021. All rights reserved.</w:t>
        <w:br/>
        <w:t>Copyright (c) Huawei Technologies Co., Ltd. 2023. All rights reserved.</w:t>
        <w:br/>
        <w:t>Copyright (c) 2003 Hewlett-Packard Co Contributed by David Mosberger-Tang &lt;davidm@hpl.hp.com&gt;</w:t>
        <w:br/>
        <w:t>Copyright (c) Huawei Technologies Co., Ltd. 2020-2028. All rights reserved.</w:t>
        <w:br/>
        <w:t>Copyright (c) Huawei Technologies Co., Ltd. 2024-2024. All rights reserved.</w:t>
        <w:br/>
        <w:t>Copyright 2022 Blackberry Limited</w:t>
        <w:br/>
        <w:t>Copyright (c) Huawei Technologies Co., Ltd. 2025. All rights reserved.</w:t>
        <w:br/>
        <w:t>Copyright (c) 2002-2004 Hewlett-Packard Co Contributed by David Mosberger-Tang &lt;davidm@hpl.hp.com&gt;</w:t>
        <w:br/>
        <w:t>Copyright (c) 2001-2004 Hewlett-Packard Co Contributed by David Mosberger-Tang &lt;davidm@hpl.hp.com&gt;</w:t>
        <w:br/>
        <w:t>Copyright (c) 2003-2025, Troy D. Hanson https:troydhanson.github.io/uthash</w:t>
        <w:br/>
        <w:t>Copyright (c) Huawei Technologies Co., Ltd. 2022. All rights reserved.</w:t>
        <w:br/>
        <w:t>Copyright (c) 2013 Linaro Limited</w:t>
        <w:br/>
      </w:r>
    </w:p>
    <w:p>
      <w:pPr>
        <w:spacing w:line="420" w:lineRule="exact"/>
        <w:rPr>
          <w:rFonts w:hint="eastAsia"/>
        </w:rPr>
      </w:pPr>
      <w:r>
        <w:rPr>
          <w:rFonts w:ascii="Arial" w:hAnsi="Arial"/>
          <w:b/>
          <w:sz w:val="24"/>
        </w:rPr>
        <w:t xml:space="preserve">License: </w:t>
      </w:r>
      <w:r>
        <w:rPr>
          <w:rFonts w:ascii="Arial" w:hAnsi="Arial"/>
          <w:sz w:val="21"/>
        </w:rPr>
        <w:t>GPLv2 AND MulanPSL2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